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60" w:type="dxa"/>
        <w:tblInd w:w="91" w:type="dxa"/>
        <w:tblLayout w:type="fixed"/>
        <w:tblCellMar>
          <w:top w:w="0" w:type="dxa"/>
          <w:left w:w="108" w:type="dxa"/>
          <w:bottom w:w="0" w:type="dxa"/>
          <w:right w:w="108" w:type="dxa"/>
        </w:tblCellMar>
      </w:tblPr>
      <w:tblGrid>
        <w:gridCol w:w="626"/>
        <w:gridCol w:w="627"/>
        <w:gridCol w:w="1270"/>
        <w:gridCol w:w="3791"/>
        <w:gridCol w:w="4146"/>
      </w:tblGrid>
      <w:tr>
        <w:tblPrEx>
          <w:tblCellMar>
            <w:top w:w="0" w:type="dxa"/>
            <w:left w:w="108" w:type="dxa"/>
            <w:bottom w:w="0" w:type="dxa"/>
            <w:right w:w="108" w:type="dxa"/>
          </w:tblCellMar>
        </w:tblPrEx>
        <w:trPr>
          <w:trHeight w:val="676" w:hRule="atLeast"/>
        </w:trPr>
        <w:tc>
          <w:tcPr>
            <w:tcW w:w="10460" w:type="dxa"/>
            <w:gridSpan w:val="5"/>
            <w:tcBorders>
              <w:top w:val="nil"/>
              <w:left w:val="nil"/>
              <w:bottom w:val="nil"/>
              <w:right w:val="nil"/>
            </w:tcBorders>
            <w:shd w:val="clear" w:color="auto" w:fill="auto"/>
            <w:vAlign w:val="center"/>
          </w:tcPr>
          <w:p>
            <w:pPr>
              <w:widowControl/>
              <w:jc w:val="center"/>
              <w:textAlignment w:val="center"/>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kern w:val="0"/>
                <w:sz w:val="24"/>
                <w:szCs w:val="24"/>
              </w:rPr>
              <w:t>特定目标类项目支出绩效目标申报表</w:t>
            </w:r>
          </w:p>
        </w:tc>
      </w:tr>
      <w:tr>
        <w:tblPrEx>
          <w:tblCellMar>
            <w:top w:w="0" w:type="dxa"/>
            <w:left w:w="108" w:type="dxa"/>
            <w:bottom w:w="0" w:type="dxa"/>
            <w:right w:w="108" w:type="dxa"/>
          </w:tblCellMar>
        </w:tblPrEx>
        <w:trPr>
          <w:trHeight w:val="312" w:hRule="atLeast"/>
        </w:trPr>
        <w:tc>
          <w:tcPr>
            <w:tcW w:w="10460" w:type="dxa"/>
            <w:gridSpan w:val="5"/>
            <w:tcBorders>
              <w:top w:val="nil"/>
              <w:left w:val="nil"/>
              <w:bottom w:val="nil"/>
              <w:right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w:t>
            </w:r>
            <w:r>
              <w:rPr>
                <w:rStyle w:val="6"/>
                <w:rFonts w:hint="eastAsia" w:asciiTheme="minorEastAsia" w:hAnsiTheme="minorEastAsia" w:eastAsiaTheme="minorEastAsia" w:cstheme="minorEastAsia"/>
                <w:sz w:val="24"/>
                <w:szCs w:val="24"/>
              </w:rPr>
              <w:t>202</w:t>
            </w:r>
            <w:r>
              <w:rPr>
                <w:rStyle w:val="6"/>
                <w:rFonts w:hint="eastAsia" w:asciiTheme="minorEastAsia" w:hAnsiTheme="minorEastAsia" w:eastAsiaTheme="minorEastAsia" w:cstheme="minorEastAsia"/>
                <w:sz w:val="24"/>
                <w:szCs w:val="24"/>
                <w:lang w:val="en-US" w:eastAsia="zh-CN"/>
              </w:rPr>
              <w:t>6</w:t>
            </w:r>
            <w:r>
              <w:rPr>
                <w:rStyle w:val="7"/>
                <w:rFonts w:hint="eastAsia" w:asciiTheme="minorEastAsia" w:hAnsiTheme="minorEastAsia" w:eastAsiaTheme="minorEastAsia" w:cstheme="minorEastAsia"/>
                <w:sz w:val="24"/>
                <w:szCs w:val="24"/>
              </w:rPr>
              <w:t>年度）</w:t>
            </w:r>
          </w:p>
        </w:tc>
      </w:tr>
      <w:tr>
        <w:tblPrEx>
          <w:tblCellMar>
            <w:top w:w="0" w:type="dxa"/>
            <w:left w:w="108" w:type="dxa"/>
            <w:bottom w:w="0" w:type="dxa"/>
            <w:right w:w="108" w:type="dxa"/>
          </w:tblCellMar>
        </w:tblPrEx>
        <w:trPr>
          <w:trHeight w:val="385" w:hRule="atLeast"/>
        </w:trPr>
        <w:tc>
          <w:tcPr>
            <w:tcW w:w="2523"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项目名称</w:t>
            </w:r>
          </w:p>
        </w:tc>
        <w:tc>
          <w:tcPr>
            <w:tcW w:w="79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2026年代缴全区各行政事业单位党报党刊资金</w:t>
            </w:r>
          </w:p>
        </w:tc>
      </w:tr>
      <w:tr>
        <w:tblPrEx>
          <w:tblCellMar>
            <w:top w:w="0" w:type="dxa"/>
            <w:left w:w="108" w:type="dxa"/>
            <w:bottom w:w="0" w:type="dxa"/>
            <w:right w:w="108" w:type="dxa"/>
          </w:tblCellMar>
        </w:tblPrEx>
        <w:trPr>
          <w:trHeight w:val="385" w:hRule="atLeast"/>
        </w:trPr>
        <w:tc>
          <w:tcPr>
            <w:tcW w:w="2523"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预算单位</w:t>
            </w:r>
          </w:p>
        </w:tc>
        <w:tc>
          <w:tcPr>
            <w:tcW w:w="79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中国共产党攀枝花市仁和区委员会宣传部</w:t>
            </w:r>
          </w:p>
        </w:tc>
      </w:tr>
      <w:tr>
        <w:tblPrEx>
          <w:tblCellMar>
            <w:top w:w="0" w:type="dxa"/>
            <w:left w:w="108" w:type="dxa"/>
            <w:bottom w:w="0" w:type="dxa"/>
            <w:right w:w="108" w:type="dxa"/>
          </w:tblCellMar>
        </w:tblPrEx>
        <w:trPr>
          <w:trHeight w:val="385" w:hRule="atLeast"/>
        </w:trPr>
        <w:tc>
          <w:tcPr>
            <w:tcW w:w="25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项目资金</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（万元）</w:t>
            </w:r>
          </w:p>
        </w:tc>
        <w:tc>
          <w:tcPr>
            <w:tcW w:w="3791"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年度资金总额:</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140.00</w:t>
            </w:r>
          </w:p>
        </w:tc>
      </w:tr>
      <w:tr>
        <w:tblPrEx>
          <w:tblCellMar>
            <w:top w:w="0" w:type="dxa"/>
            <w:left w:w="108" w:type="dxa"/>
            <w:bottom w:w="0" w:type="dxa"/>
            <w:right w:w="108" w:type="dxa"/>
          </w:tblCellMar>
        </w:tblPrEx>
        <w:trPr>
          <w:trHeight w:val="385" w:hRule="atLeast"/>
        </w:trPr>
        <w:tc>
          <w:tcPr>
            <w:tcW w:w="25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其中：财政拨款</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140.00</w:t>
            </w:r>
          </w:p>
        </w:tc>
      </w:tr>
      <w:tr>
        <w:tblPrEx>
          <w:tblCellMar>
            <w:top w:w="0" w:type="dxa"/>
            <w:left w:w="108" w:type="dxa"/>
            <w:bottom w:w="0" w:type="dxa"/>
            <w:right w:w="108" w:type="dxa"/>
          </w:tblCellMar>
        </w:tblPrEx>
        <w:trPr>
          <w:trHeight w:val="385" w:hRule="atLeast"/>
        </w:trPr>
        <w:tc>
          <w:tcPr>
            <w:tcW w:w="25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其他资金</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FF0000"/>
                <w:sz w:val="24"/>
                <w:szCs w:val="24"/>
              </w:rPr>
            </w:pPr>
          </w:p>
        </w:tc>
      </w:tr>
      <w:tr>
        <w:tblPrEx>
          <w:tblCellMar>
            <w:top w:w="0" w:type="dxa"/>
            <w:left w:w="108" w:type="dxa"/>
            <w:bottom w:w="0" w:type="dxa"/>
            <w:right w:w="108" w:type="dxa"/>
          </w:tblCellMar>
        </w:tblPrEx>
        <w:trPr>
          <w:trHeight w:val="1270"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总</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体</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目</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标</w:t>
            </w:r>
          </w:p>
        </w:tc>
        <w:tc>
          <w:tcPr>
            <w:tcW w:w="98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完成市委宣传部下达给仁和区的202</w:t>
            </w:r>
            <w:r>
              <w:rPr>
                <w:rFonts w:hint="eastAsia" w:asciiTheme="minorEastAsia" w:hAnsiTheme="minorEastAsia" w:eastAsiaTheme="minorEastAsia" w:cstheme="minorEastAsia"/>
                <w:color w:val="000000"/>
                <w:kern w:val="0"/>
                <w:sz w:val="24"/>
                <w:szCs w:val="24"/>
                <w:lang w:val="en-US" w:eastAsia="zh-CN"/>
              </w:rPr>
              <w:t>6</w:t>
            </w:r>
            <w:r>
              <w:rPr>
                <w:rFonts w:hint="eastAsia" w:asciiTheme="minorEastAsia" w:hAnsiTheme="minorEastAsia" w:eastAsiaTheme="minorEastAsia" w:cstheme="minorEastAsia"/>
                <w:color w:val="000000"/>
                <w:kern w:val="0"/>
                <w:sz w:val="24"/>
                <w:szCs w:val="24"/>
              </w:rPr>
              <w:t>年党报党刊任务数。</w:t>
            </w:r>
          </w:p>
        </w:tc>
      </w:tr>
      <w:tr>
        <w:tblPrEx>
          <w:tblCellMar>
            <w:top w:w="0" w:type="dxa"/>
            <w:left w:w="108" w:type="dxa"/>
            <w:bottom w:w="0" w:type="dxa"/>
            <w:right w:w="108" w:type="dxa"/>
          </w:tblCellMar>
        </w:tblPrEx>
        <w:trPr>
          <w:trHeight w:val="635" w:hRule="atLeast"/>
        </w:trPr>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绩效指标</w:t>
            </w:r>
          </w:p>
        </w:tc>
        <w:tc>
          <w:tcPr>
            <w:tcW w:w="62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一级</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指标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二级指标</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三级指标</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指标值（包含数字及文字描述）</w:t>
            </w:r>
          </w:p>
        </w:tc>
      </w:tr>
      <w:tr>
        <w:tblPrEx>
          <w:tblCellMar>
            <w:top w:w="0" w:type="dxa"/>
            <w:left w:w="108" w:type="dxa"/>
            <w:bottom w:w="0" w:type="dxa"/>
            <w:right w:w="108" w:type="dxa"/>
          </w:tblCellMar>
        </w:tblPrEx>
        <w:trPr>
          <w:trHeight w:val="731"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项目完成</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数量指标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代征代缴订全区202</w:t>
            </w:r>
            <w:r>
              <w:rPr>
                <w:rFonts w:hint="eastAsia" w:asciiTheme="minorEastAsia" w:hAnsiTheme="minorEastAsia" w:eastAsiaTheme="minorEastAsia" w:cstheme="minorEastAsia"/>
                <w:color w:val="000000"/>
                <w:kern w:val="0"/>
                <w:sz w:val="24"/>
                <w:szCs w:val="24"/>
                <w:lang w:val="en-US" w:eastAsia="zh-CN"/>
              </w:rPr>
              <w:t>6</w:t>
            </w:r>
            <w:r>
              <w:rPr>
                <w:rFonts w:hint="eastAsia" w:asciiTheme="minorEastAsia" w:hAnsiTheme="minorEastAsia" w:eastAsiaTheme="minorEastAsia" w:cstheme="minorEastAsia"/>
                <w:color w:val="000000"/>
                <w:kern w:val="0"/>
                <w:sz w:val="24"/>
                <w:szCs w:val="24"/>
              </w:rPr>
              <w:t>年各行政事业单位党报党刊</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auto"/>
                <w:kern w:val="0"/>
                <w:sz w:val="24"/>
                <w:szCs w:val="24"/>
              </w:rPr>
              <w:t>人民日报354份，求是317份，光明日报186份，经济日报191份，四川日报537份，四川农村日报147份，新华每日电讯112份，攀枝花日报1890份</w:t>
            </w: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1126"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质量指标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完成目标任务</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及时代征完成市级下达征订党报党刊任务数</w:t>
            </w: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时效指标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按照工作安排</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202</w:t>
            </w:r>
            <w:r>
              <w:rPr>
                <w:rFonts w:hint="eastAsia" w:asciiTheme="minorEastAsia" w:hAnsiTheme="minorEastAsia" w:eastAsiaTheme="minorEastAsia" w:cstheme="minorEastAsia"/>
                <w:color w:val="000000"/>
                <w:kern w:val="0"/>
                <w:sz w:val="24"/>
                <w:szCs w:val="24"/>
                <w:lang w:val="en-US" w:eastAsia="zh-CN"/>
              </w:rPr>
              <w:t>6</w:t>
            </w:r>
            <w:r>
              <w:rPr>
                <w:rFonts w:hint="eastAsia" w:asciiTheme="minorEastAsia" w:hAnsiTheme="minorEastAsia" w:eastAsiaTheme="minorEastAsia" w:cstheme="minorEastAsia"/>
                <w:color w:val="000000"/>
                <w:kern w:val="0"/>
                <w:sz w:val="24"/>
                <w:szCs w:val="24"/>
              </w:rPr>
              <w:t>年2月前完成</w:t>
            </w: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成本指标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征订费</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140万元</w:t>
            </w: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restart"/>
            <w:tcBorders>
              <w:top w:val="nil"/>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项目效益</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社会效益</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巩固主流意识形态阵地</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充分发挥其舆论引导作用，对于全面深入学习贯彻落实习近平新时代中国特色社会主义思想和党的十九大精神，巩固主流媒体在意识形态领域的主导地位，建设具有强大凝聚力和引领力的社会主义意识形态具有重要意义</w:t>
            </w:r>
          </w:p>
        </w:tc>
      </w:tr>
      <w:tr>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1204"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r>
        <w:tblPrEx>
          <w:tblCellMar>
            <w:top w:w="0" w:type="dxa"/>
            <w:left w:w="108" w:type="dxa"/>
            <w:bottom w:w="0" w:type="dxa"/>
            <w:right w:w="108" w:type="dxa"/>
          </w:tblCellMar>
        </w:tblPrEx>
        <w:trPr>
          <w:trHeight w:val="506"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满意度指标</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满意度</w:t>
            </w:r>
          </w:p>
          <w:p>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各行政事业单位满意度</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满意度≥</w:t>
            </w:r>
            <w:r>
              <w:rPr>
                <w:rFonts w:hint="eastAsia" w:asciiTheme="minorEastAsia" w:hAnsiTheme="minorEastAsia" w:eastAsiaTheme="minorEastAsia" w:cstheme="minorEastAsia"/>
                <w:color w:val="000000"/>
                <w:kern w:val="0"/>
                <w:sz w:val="24"/>
                <w:szCs w:val="24"/>
                <w:lang w:val="en-US" w:eastAsia="zh-CN"/>
              </w:rPr>
              <w:t>85</w:t>
            </w:r>
            <w:r>
              <w:rPr>
                <w:rFonts w:hint="eastAsia" w:asciiTheme="minorEastAsia" w:hAnsiTheme="minorEastAsia" w:eastAsiaTheme="minorEastAsia" w:cstheme="minorEastAsia"/>
                <w:color w:val="000000"/>
                <w:kern w:val="0"/>
                <w:sz w:val="24"/>
                <w:szCs w:val="24"/>
              </w:rPr>
              <w:t>%</w:t>
            </w:r>
          </w:p>
        </w:tc>
      </w:tr>
      <w:tr>
        <w:tblPrEx>
          <w:tblCellMar>
            <w:top w:w="0" w:type="dxa"/>
            <w:left w:w="108" w:type="dxa"/>
            <w:bottom w:w="0" w:type="dxa"/>
            <w:right w:w="108" w:type="dxa"/>
          </w:tblCellMar>
        </w:tblPrEx>
        <w:trPr>
          <w:trHeight w:val="516"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color w:val="000000"/>
                <w:sz w:val="24"/>
                <w:szCs w:val="24"/>
              </w:rPr>
            </w:pPr>
          </w:p>
        </w:tc>
      </w:tr>
    </w:tbl>
    <w:p>
      <w:r>
        <w:br w:type="page"/>
      </w:r>
    </w:p>
    <w:tbl>
      <w:tblPr>
        <w:tblStyle w:val="4"/>
        <w:tblW w:w="11070" w:type="dxa"/>
        <w:tblInd w:w="-142" w:type="dxa"/>
        <w:tblLayout w:type="fixed"/>
        <w:tblCellMar>
          <w:top w:w="0" w:type="dxa"/>
          <w:left w:w="108" w:type="dxa"/>
          <w:bottom w:w="0" w:type="dxa"/>
          <w:right w:w="108" w:type="dxa"/>
        </w:tblCellMar>
      </w:tblPr>
      <w:tblGrid>
        <w:gridCol w:w="600"/>
        <w:gridCol w:w="870"/>
        <w:gridCol w:w="915"/>
        <w:gridCol w:w="3889"/>
        <w:gridCol w:w="4796"/>
      </w:tblGrid>
      <w:tr>
        <w:tblPrEx>
          <w:tblCellMar>
            <w:top w:w="0" w:type="dxa"/>
            <w:left w:w="108" w:type="dxa"/>
            <w:bottom w:w="0" w:type="dxa"/>
            <w:right w:w="108" w:type="dxa"/>
          </w:tblCellMar>
        </w:tblPrEx>
        <w:trPr>
          <w:trHeight w:val="676" w:hRule="atLeast"/>
        </w:trPr>
        <w:tc>
          <w:tcPr>
            <w:tcW w:w="1107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312" w:hRule="atLeast"/>
        </w:trPr>
        <w:tc>
          <w:tcPr>
            <w:tcW w:w="1107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85" w:hRule="atLeast"/>
        </w:trPr>
        <w:tc>
          <w:tcPr>
            <w:tcW w:w="2385"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2026年宣传思想工作经费</w:t>
            </w:r>
          </w:p>
        </w:tc>
      </w:tr>
      <w:tr>
        <w:tblPrEx>
          <w:tblCellMar>
            <w:top w:w="0" w:type="dxa"/>
            <w:left w:w="108" w:type="dxa"/>
            <w:bottom w:w="0" w:type="dxa"/>
            <w:right w:w="108" w:type="dxa"/>
          </w:tblCellMar>
        </w:tblPrEx>
        <w:trPr>
          <w:trHeight w:val="385" w:hRule="atLeast"/>
        </w:trPr>
        <w:tc>
          <w:tcPr>
            <w:tcW w:w="2385"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385" w:hRule="atLeast"/>
        </w:trPr>
        <w:tc>
          <w:tcPr>
            <w:tcW w:w="23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889"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30</w:t>
            </w:r>
            <w:r>
              <w:rPr>
                <w:rFonts w:hint="eastAsia" w:ascii="宋体" w:hAnsi="宋体" w:eastAsia="宋体" w:cs="宋体"/>
                <w:color w:val="000000"/>
                <w:kern w:val="0"/>
                <w:sz w:val="24"/>
              </w:rPr>
              <w:t>.00</w:t>
            </w:r>
          </w:p>
        </w:tc>
      </w:tr>
      <w:tr>
        <w:tblPrEx>
          <w:tblCellMar>
            <w:top w:w="0" w:type="dxa"/>
            <w:left w:w="108" w:type="dxa"/>
            <w:bottom w:w="0" w:type="dxa"/>
            <w:right w:w="108" w:type="dxa"/>
          </w:tblCellMar>
        </w:tblPrEx>
        <w:trPr>
          <w:trHeight w:val="385" w:hRule="atLeast"/>
        </w:trPr>
        <w:tc>
          <w:tcPr>
            <w:tcW w:w="23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30</w:t>
            </w:r>
            <w:r>
              <w:rPr>
                <w:rFonts w:hint="eastAsia" w:ascii="宋体" w:hAnsi="宋体" w:eastAsia="宋体" w:cs="宋体"/>
                <w:color w:val="000000"/>
                <w:kern w:val="0"/>
                <w:sz w:val="24"/>
              </w:rPr>
              <w:t>.00</w:t>
            </w:r>
          </w:p>
        </w:tc>
      </w:tr>
      <w:tr>
        <w:tblPrEx>
          <w:tblCellMar>
            <w:top w:w="0" w:type="dxa"/>
            <w:left w:w="108" w:type="dxa"/>
            <w:bottom w:w="0" w:type="dxa"/>
            <w:right w:w="108" w:type="dxa"/>
          </w:tblCellMar>
        </w:tblPrEx>
        <w:trPr>
          <w:trHeight w:val="385" w:hRule="atLeast"/>
        </w:trPr>
        <w:tc>
          <w:tcPr>
            <w:tcW w:w="23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896"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4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为推动全区经济社会发展凝心聚力，为建设实力、生态、和谐、幸福仁和营造浓厚的舆论氛围，提供坚强的思想保证，创造和谐的文化环境。</w:t>
            </w:r>
          </w:p>
        </w:tc>
      </w:tr>
      <w:tr>
        <w:tblPrEx>
          <w:tblCellMar>
            <w:top w:w="0" w:type="dxa"/>
            <w:left w:w="108" w:type="dxa"/>
            <w:bottom w:w="0" w:type="dxa"/>
            <w:right w:w="108" w:type="dxa"/>
          </w:tblCellMar>
        </w:tblPrEx>
        <w:trPr>
          <w:trHeight w:val="9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505"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区委理论中心组集中学习</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至少6场次</w:t>
            </w:r>
          </w:p>
        </w:tc>
      </w:tr>
      <w:tr>
        <w:tblPrEx>
          <w:tblCellMar>
            <w:top w:w="0" w:type="dxa"/>
            <w:left w:w="108" w:type="dxa"/>
            <w:bottom w:w="0" w:type="dxa"/>
            <w:right w:w="108" w:type="dxa"/>
          </w:tblCellMar>
        </w:tblPrEx>
        <w:trPr>
          <w:trHeight w:val="46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意识形态讲座暨网络意识形态讲座</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至少1场次</w:t>
            </w:r>
          </w:p>
        </w:tc>
      </w:tr>
      <w:tr>
        <w:tblPrEx>
          <w:tblCellMar>
            <w:top w:w="0" w:type="dxa"/>
            <w:left w:w="108" w:type="dxa"/>
            <w:bottom w:w="0" w:type="dxa"/>
            <w:right w:w="108" w:type="dxa"/>
          </w:tblCellMar>
        </w:tblPrEx>
        <w:trPr>
          <w:trHeight w:val="635"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方针政策宣传广告</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视当年重大会议、重大活动数量而定，每个5处及以上</w:t>
            </w:r>
          </w:p>
        </w:tc>
      </w:tr>
      <w:tr>
        <w:tblPrEx>
          <w:tblCellMar>
            <w:top w:w="0" w:type="dxa"/>
            <w:left w:w="108" w:type="dxa"/>
            <w:bottom w:w="0" w:type="dxa"/>
            <w:right w:w="108" w:type="dxa"/>
          </w:tblCellMar>
        </w:tblPrEx>
        <w:trPr>
          <w:trHeight w:val="948"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tcBorders>
              <w:top w:val="nil"/>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落实全民国防教育工作</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开展全民国防教育专题学习不少于2场，组织“我爱国防”主题宣传比赛1场，拍摄仁和区国防教育宣传片1部</w:t>
            </w:r>
          </w:p>
        </w:tc>
      </w:tr>
      <w:tr>
        <w:tblPrEx>
          <w:tblCellMar>
            <w:top w:w="0" w:type="dxa"/>
            <w:left w:w="108" w:type="dxa"/>
            <w:bottom w:w="0" w:type="dxa"/>
            <w:right w:w="108" w:type="dxa"/>
          </w:tblCellMar>
        </w:tblPrEx>
        <w:trPr>
          <w:trHeight w:val="72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方针政策宣传</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负责宣传党在全年各个时间段的路线、方针、政策</w:t>
            </w:r>
          </w:p>
        </w:tc>
      </w:tr>
      <w:tr>
        <w:tblPrEx>
          <w:tblCellMar>
            <w:top w:w="0" w:type="dxa"/>
            <w:left w:w="108" w:type="dxa"/>
            <w:bottom w:w="0" w:type="dxa"/>
            <w:right w:w="108" w:type="dxa"/>
          </w:tblCellMar>
        </w:tblPrEx>
        <w:trPr>
          <w:trHeight w:val="695"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理论武装学习</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负责拟定在职干部理论学习规划，组织指导全区的理论学习和理论武装工作</w:t>
            </w: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按照工作安排</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年1月-12月</w:t>
            </w: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各项宣传思想经费</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30</w:t>
            </w:r>
            <w:r>
              <w:rPr>
                <w:rFonts w:hint="eastAsia" w:ascii="宋体" w:hAnsi="宋体" w:eastAsia="宋体" w:cs="宋体"/>
                <w:color w:val="000000"/>
                <w:kern w:val="0"/>
                <w:sz w:val="24"/>
              </w:rPr>
              <w:t>万元</w:t>
            </w: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项目效益</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加强全区宣传思想工作开展</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为区委区政府各项重点工作、中心工作提供思想保证、精神动力、舆论支持和文化条件；提高全民国防观念普及率</w:t>
            </w: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全区宣传思想工作顺利开展</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为全区经济社会工作提供思想保证、精神动力、舆论支持和文化条件</w:t>
            </w:r>
          </w:p>
        </w:tc>
      </w:tr>
      <w:tr>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50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公众满意度</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r>
        <w:tblPrEx>
          <w:tblCellMar>
            <w:top w:w="0" w:type="dxa"/>
            <w:left w:w="108" w:type="dxa"/>
            <w:bottom w:w="0" w:type="dxa"/>
            <w:right w:w="108" w:type="dxa"/>
          </w:tblCellMar>
        </w:tblPrEx>
        <w:trPr>
          <w:trHeight w:val="924"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bl>
    <w:p>
      <w:r>
        <w:br w:type="page"/>
      </w:r>
    </w:p>
    <w:tbl>
      <w:tblPr>
        <w:tblStyle w:val="4"/>
        <w:tblW w:w="11040" w:type="dxa"/>
        <w:tblInd w:w="-201" w:type="dxa"/>
        <w:tblLayout w:type="fixed"/>
        <w:tblCellMar>
          <w:top w:w="0" w:type="dxa"/>
          <w:left w:w="108" w:type="dxa"/>
          <w:bottom w:w="0" w:type="dxa"/>
          <w:right w:w="108" w:type="dxa"/>
        </w:tblCellMar>
      </w:tblPr>
      <w:tblGrid>
        <w:gridCol w:w="575"/>
        <w:gridCol w:w="734"/>
        <w:gridCol w:w="1383"/>
        <w:gridCol w:w="1933"/>
        <w:gridCol w:w="6415"/>
      </w:tblGrid>
      <w:tr>
        <w:tblPrEx>
          <w:tblCellMar>
            <w:top w:w="0" w:type="dxa"/>
            <w:left w:w="108" w:type="dxa"/>
            <w:bottom w:w="0" w:type="dxa"/>
            <w:right w:w="108" w:type="dxa"/>
          </w:tblCellMar>
        </w:tblPrEx>
        <w:trPr>
          <w:trHeight w:val="90" w:hRule="atLeast"/>
        </w:trPr>
        <w:tc>
          <w:tcPr>
            <w:tcW w:w="1104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90" w:hRule="atLeast"/>
        </w:trPr>
        <w:tc>
          <w:tcPr>
            <w:tcW w:w="1104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95" w:hRule="atLeast"/>
        </w:trPr>
        <w:tc>
          <w:tcPr>
            <w:tcW w:w="269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2026年媒体合作项目</w:t>
            </w:r>
          </w:p>
        </w:tc>
      </w:tr>
      <w:tr>
        <w:tblPrEx>
          <w:tblCellMar>
            <w:top w:w="0" w:type="dxa"/>
            <w:left w:w="108" w:type="dxa"/>
            <w:bottom w:w="0" w:type="dxa"/>
            <w:right w:w="108" w:type="dxa"/>
          </w:tblCellMar>
        </w:tblPrEx>
        <w:trPr>
          <w:trHeight w:val="450" w:hRule="atLeast"/>
        </w:trPr>
        <w:tc>
          <w:tcPr>
            <w:tcW w:w="2692"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90" w:hRule="atLeast"/>
        </w:trPr>
        <w:tc>
          <w:tcPr>
            <w:tcW w:w="26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19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8</w:t>
            </w:r>
            <w:r>
              <w:rPr>
                <w:rFonts w:hint="eastAsia" w:ascii="宋体" w:hAnsi="宋体" w:eastAsia="宋体" w:cs="宋体"/>
                <w:color w:val="000000"/>
                <w:kern w:val="0"/>
                <w:sz w:val="24"/>
              </w:rPr>
              <w:t>0.00</w:t>
            </w:r>
          </w:p>
        </w:tc>
      </w:tr>
      <w:tr>
        <w:tblPrEx>
          <w:tblCellMar>
            <w:top w:w="0" w:type="dxa"/>
            <w:left w:w="108" w:type="dxa"/>
            <w:bottom w:w="0" w:type="dxa"/>
            <w:right w:w="108" w:type="dxa"/>
          </w:tblCellMar>
        </w:tblPrEx>
        <w:trPr>
          <w:trHeight w:val="90" w:hRule="atLeast"/>
        </w:trPr>
        <w:tc>
          <w:tcPr>
            <w:tcW w:w="26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其中：财政拨款</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8</w:t>
            </w:r>
            <w:r>
              <w:rPr>
                <w:rFonts w:hint="eastAsia" w:ascii="宋体" w:hAnsi="宋体" w:eastAsia="宋体" w:cs="宋体"/>
                <w:color w:val="000000"/>
                <w:kern w:val="0"/>
                <w:sz w:val="24"/>
              </w:rPr>
              <w:t xml:space="preserve">0.00 </w:t>
            </w:r>
          </w:p>
        </w:tc>
      </w:tr>
      <w:tr>
        <w:tblPrEx>
          <w:tblCellMar>
            <w:top w:w="0" w:type="dxa"/>
            <w:left w:w="108" w:type="dxa"/>
            <w:bottom w:w="0" w:type="dxa"/>
            <w:right w:w="108" w:type="dxa"/>
          </w:tblCellMar>
        </w:tblPrEx>
        <w:trPr>
          <w:trHeight w:val="90" w:hRule="atLeast"/>
        </w:trPr>
        <w:tc>
          <w:tcPr>
            <w:tcW w:w="26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FF0000"/>
                <w:sz w:val="24"/>
              </w:rPr>
            </w:pPr>
          </w:p>
        </w:tc>
      </w:tr>
      <w:tr>
        <w:tblPrEx>
          <w:tblCellMar>
            <w:top w:w="0" w:type="dxa"/>
            <w:left w:w="108" w:type="dxa"/>
            <w:bottom w:w="0" w:type="dxa"/>
            <w:right w:w="108" w:type="dxa"/>
          </w:tblCellMar>
        </w:tblPrEx>
        <w:trPr>
          <w:trHeight w:val="9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465" w:type="dxa"/>
            <w:gridSpan w:val="4"/>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8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主要与新华社、四川日报、封面传媒、攀枝花日报社、四川卫视（四川观察）攀枝花电视台等上级主流媒体合作，借助其全媒体平台，大力做好仁和区区域发展思路、战略举措、中心工作及亮点经验的宣传报道，以提升仁和对外知名度和美誉度。</w:t>
            </w:r>
          </w:p>
        </w:tc>
      </w:tr>
      <w:tr>
        <w:tblPrEx>
          <w:tblCellMar>
            <w:top w:w="0" w:type="dxa"/>
            <w:left w:w="108" w:type="dxa"/>
            <w:bottom w:w="0" w:type="dxa"/>
            <w:right w:w="108" w:type="dxa"/>
          </w:tblCellMar>
        </w:tblPrEx>
        <w:trPr>
          <w:trHeight w:val="90" w:hRule="atLeast"/>
        </w:trPr>
        <w:tc>
          <w:tcPr>
            <w:tcW w:w="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1030"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8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在中央级媒体发布新闻信息</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新华社新闻信息中心四川中心：在新华社客户端四川频道提供推广服务不少于12次，涉及仁和文化、旅游、产业等原创策划融媒体推广产品不少于3条，提供国际传播推广不少于1次，以线上培训等方式，提供融媒体业务培训不少于1次</w:t>
            </w:r>
          </w:p>
        </w:tc>
      </w:tr>
      <w:tr>
        <w:tblPrEx>
          <w:tblCellMar>
            <w:top w:w="0" w:type="dxa"/>
            <w:left w:w="108" w:type="dxa"/>
            <w:bottom w:w="0" w:type="dxa"/>
            <w:right w:w="108" w:type="dxa"/>
          </w:tblCellMar>
        </w:tblPrEx>
        <w:trPr>
          <w:trHeight w:val="353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在省级主流媒体发布新闻信息</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四川新闻网：在四川新闻网、首屏新闻客户端等重点网站、客户端发布甲方重大主题宣传、重点项目宣传等相关信息，做好在中国西部网的宣传推广，协调amazing sichuan做好国际传播四川日报全媒体集群：全年在川观新闻刊发不低于30条及以上推广信息，在四川日报要闻版、综合版、市州观察攀枝花版等多个靠前版面刊发10条及以上宣传信息，字数总计1万字以上，加上图片宣传，约合四川日报2个整版。全年可选择2个重大选题，在四川日报重要版面发布专题宣传，每个专题字数约为2500字，版面大小为1/2版，均为彩版封面新闻：在封面新闻客户端不不间断推送仁和区信息内容，协助做好对外推广工作。四川经济日报：传统媒体和川经瞭望客户端、四川经济网等新媒体，累计提供信息服务40条（篇）以上，其中，纸媒体15篇，专题策划2个四川卫视（四川观察）：在四川观察客户端不不间断推送仁和区信息内容，协助做好对外推广工作</w:t>
            </w:r>
          </w:p>
        </w:tc>
      </w:tr>
      <w:tr>
        <w:tblPrEx>
          <w:tblCellMar>
            <w:top w:w="0" w:type="dxa"/>
            <w:left w:w="108" w:type="dxa"/>
            <w:bottom w:w="0" w:type="dxa"/>
            <w:right w:w="108" w:type="dxa"/>
          </w:tblCellMar>
        </w:tblPrEx>
        <w:trPr>
          <w:trHeight w:val="735"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在市级主流媒体发布新闻信息</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在攀枝花日报第3版或第4版推出“这里仁和”专题宣传18期，新媒体21期（6期短视频、公众号15期）</w:t>
            </w: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完成全年工作目标</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按合同按时按量发布有效信息</w:t>
            </w: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按工作计划实施</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年1-12月适时发布</w:t>
            </w: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中央、省、市三级媒体合作经费</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8</w:t>
            </w:r>
            <w:r>
              <w:rPr>
                <w:rFonts w:hint="eastAsia" w:ascii="宋体" w:hAnsi="宋体" w:eastAsia="宋体" w:cs="宋体"/>
                <w:color w:val="000000"/>
                <w:kern w:val="0"/>
                <w:sz w:val="24"/>
              </w:rPr>
              <w:t>0万元</w:t>
            </w: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r>
              <w:rPr>
                <w:rFonts w:hint="eastAsia" w:ascii="宋体" w:hAnsi="宋体" w:eastAsia="宋体" w:cs="宋体"/>
                <w:color w:val="000000"/>
                <w:sz w:val="24"/>
              </w:rPr>
              <w:t>项目效益</w:t>
            </w: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通过舆论影响力，仁和区在城市知名度提升、文化传承交流、居民凝聚力增强、旅游经济发展以及社会文明进步等多方面都取得了显著的社会效益，为城市的长远发展奠定了坚实的基础</w:t>
            </w: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通过在主流媒体发布新闻，提升仁和对外知名度和美誉度</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公众满意度</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r>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bl>
    <w:p>
      <w:pPr>
        <w:keepNext w:val="0"/>
        <w:keepLines w:val="0"/>
        <w:pageBreakBefore w:val="0"/>
        <w:kinsoku/>
        <w:wordWrap/>
        <w:overflowPunct/>
        <w:topLinePunct w:val="0"/>
        <w:autoSpaceDE/>
        <w:autoSpaceDN/>
        <w:bidi w:val="0"/>
        <w:adjustRightInd/>
        <w:snapToGrid/>
        <w:spacing w:line="240" w:lineRule="exact"/>
      </w:pPr>
      <w:r>
        <w:br w:type="page"/>
      </w:r>
    </w:p>
    <w:tbl>
      <w:tblPr>
        <w:tblStyle w:val="4"/>
        <w:tblW w:w="10460" w:type="dxa"/>
        <w:tblInd w:w="91" w:type="dxa"/>
        <w:tblLayout w:type="fixed"/>
        <w:tblCellMar>
          <w:top w:w="0" w:type="dxa"/>
          <w:left w:w="108" w:type="dxa"/>
          <w:bottom w:w="0" w:type="dxa"/>
          <w:right w:w="108" w:type="dxa"/>
        </w:tblCellMar>
      </w:tblPr>
      <w:tblGrid>
        <w:gridCol w:w="750"/>
        <w:gridCol w:w="900"/>
        <w:gridCol w:w="1233"/>
        <w:gridCol w:w="2850"/>
        <w:gridCol w:w="4727"/>
      </w:tblGrid>
      <w:tr>
        <w:tblPrEx>
          <w:tblCellMar>
            <w:top w:w="0" w:type="dxa"/>
            <w:left w:w="108" w:type="dxa"/>
            <w:bottom w:w="0" w:type="dxa"/>
            <w:right w:w="108" w:type="dxa"/>
          </w:tblCellMar>
        </w:tblPrEx>
        <w:trPr>
          <w:trHeight w:val="657" w:hRule="atLeast"/>
        </w:trPr>
        <w:tc>
          <w:tcPr>
            <w:tcW w:w="1046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304" w:hRule="atLeast"/>
        </w:trPr>
        <w:tc>
          <w:tcPr>
            <w:tcW w:w="1046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75" w:hRule="atLeast"/>
        </w:trPr>
        <w:tc>
          <w:tcPr>
            <w:tcW w:w="2883"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2026年网信工作经费</w:t>
            </w:r>
          </w:p>
        </w:tc>
      </w:tr>
      <w:tr>
        <w:tblPrEx>
          <w:tblCellMar>
            <w:top w:w="0" w:type="dxa"/>
            <w:left w:w="108" w:type="dxa"/>
            <w:bottom w:w="0" w:type="dxa"/>
            <w:right w:w="108" w:type="dxa"/>
          </w:tblCellMar>
        </w:tblPrEx>
        <w:trPr>
          <w:trHeight w:val="375" w:hRule="atLeast"/>
        </w:trPr>
        <w:tc>
          <w:tcPr>
            <w:tcW w:w="2883"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375" w:hRule="atLeast"/>
        </w:trPr>
        <w:tc>
          <w:tcPr>
            <w:tcW w:w="28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850"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.00</w:t>
            </w:r>
          </w:p>
        </w:tc>
      </w:tr>
      <w:tr>
        <w:tblPrEx>
          <w:tblCellMar>
            <w:top w:w="0" w:type="dxa"/>
            <w:left w:w="108" w:type="dxa"/>
            <w:bottom w:w="0" w:type="dxa"/>
            <w:right w:w="108" w:type="dxa"/>
          </w:tblCellMar>
        </w:tblPrEx>
        <w:trPr>
          <w:trHeight w:val="375" w:hRule="atLeast"/>
        </w:trPr>
        <w:tc>
          <w:tcPr>
            <w:tcW w:w="28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.00</w:t>
            </w:r>
          </w:p>
        </w:tc>
      </w:tr>
      <w:tr>
        <w:tblPrEx>
          <w:tblCellMar>
            <w:top w:w="0" w:type="dxa"/>
            <w:left w:w="108" w:type="dxa"/>
            <w:bottom w:w="0" w:type="dxa"/>
            <w:right w:w="108" w:type="dxa"/>
          </w:tblCellMar>
        </w:tblPrEx>
        <w:trPr>
          <w:trHeight w:val="375" w:hRule="atLeast"/>
        </w:trPr>
        <w:tc>
          <w:tcPr>
            <w:tcW w:w="28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468"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710" w:type="dxa"/>
            <w:gridSpan w:val="4"/>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深入贯彻落实党中央和省委、市委、区委对网信工作的新部署新要求，加强对网络意识形态、网络安全、数字经济等领域重大问题的研判和应对，不断提高各级党组织和领导干部对互联网规律的把握能力、对网络舆论的引导能力、对信息化发展的驾驭能力、对网络安全的保障能力。</w:t>
            </w:r>
          </w:p>
        </w:tc>
      </w:tr>
      <w:tr>
        <w:tblPrEx>
          <w:tblCellMar>
            <w:top w:w="0" w:type="dxa"/>
            <w:left w:w="108" w:type="dxa"/>
            <w:bottom w:w="0" w:type="dxa"/>
            <w:right w:w="108" w:type="dxa"/>
          </w:tblCellMar>
        </w:tblPrEx>
        <w:trPr>
          <w:trHeight w:val="617"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233"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auto"/>
                <w:sz w:val="24"/>
              </w:rPr>
            </w:pPr>
            <w:r>
              <w:rPr>
                <w:rFonts w:hint="eastAsia" w:ascii="宋体" w:hAnsi="宋体" w:eastAsia="宋体" w:cs="宋体"/>
                <w:color w:val="auto"/>
                <w:kern w:val="0"/>
                <w:sz w:val="24"/>
              </w:rPr>
              <w:t>开展区委网信委会议</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default" w:ascii="宋体" w:hAnsi="宋体" w:eastAsia="宋体" w:cs="宋体"/>
                <w:color w:val="auto"/>
                <w:sz w:val="24"/>
                <w:lang w:val="en-US" w:eastAsia="zh-CN"/>
              </w:rPr>
            </w:pPr>
            <w:r>
              <w:rPr>
                <w:rFonts w:hint="eastAsia" w:ascii="宋体" w:hAnsi="宋体" w:eastAsia="宋体" w:cs="宋体"/>
                <w:color w:val="auto"/>
                <w:kern w:val="0"/>
                <w:sz w:val="24"/>
              </w:rPr>
              <w:t>根据安排</w:t>
            </w:r>
            <w:r>
              <w:rPr>
                <w:rFonts w:hint="eastAsia" w:ascii="宋体" w:hAnsi="宋体" w:eastAsia="宋体" w:cs="宋体"/>
                <w:color w:val="auto"/>
                <w:kern w:val="0"/>
                <w:sz w:val="24"/>
                <w:lang w:eastAsia="zh-CN"/>
              </w:rPr>
              <w:t>预计召开</w:t>
            </w:r>
            <w:r>
              <w:rPr>
                <w:rFonts w:hint="eastAsia" w:ascii="宋体" w:hAnsi="宋体" w:eastAsia="宋体" w:cs="宋体"/>
                <w:color w:val="auto"/>
                <w:kern w:val="0"/>
                <w:sz w:val="24"/>
              </w:rPr>
              <w:t>≥</w:t>
            </w:r>
            <w:r>
              <w:rPr>
                <w:rFonts w:hint="eastAsia" w:ascii="宋体" w:hAnsi="宋体" w:eastAsia="宋体" w:cs="宋体"/>
                <w:color w:val="auto"/>
                <w:kern w:val="0"/>
                <w:sz w:val="24"/>
                <w:lang w:val="en-US" w:eastAsia="zh-CN"/>
              </w:rPr>
              <w:t>1次</w:t>
            </w:r>
          </w:p>
        </w:tc>
      </w:tr>
      <w:tr>
        <w:tblPrEx>
          <w:tblCellMar>
            <w:top w:w="0" w:type="dxa"/>
            <w:left w:w="108" w:type="dxa"/>
            <w:bottom w:w="0" w:type="dxa"/>
            <w:right w:w="108" w:type="dxa"/>
          </w:tblCellMar>
        </w:tblPrEx>
        <w:trPr>
          <w:trHeight w:val="54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开展202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年网络攻防演习</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1次</w:t>
            </w: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重大时间节点网络安全保障</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负责在重大会议、重要时间节点、重要活动期间开展网络安全保障工作</w:t>
            </w: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按工作计划实施</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宋体" w:hAnsi="宋体" w:eastAsia="宋体" w:cs="宋体"/>
                <w:color w:val="000000"/>
                <w:sz w:val="24"/>
                <w:lang w:eastAsia="zh-CN"/>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w:t>
            </w:r>
            <w:r>
              <w:rPr>
                <w:rFonts w:hint="eastAsia" w:ascii="宋体" w:hAnsi="宋体" w:eastAsia="宋体" w:cs="宋体"/>
                <w:color w:val="000000"/>
                <w:kern w:val="0"/>
                <w:sz w:val="24"/>
                <w:lang w:eastAsia="zh-CN"/>
              </w:rPr>
              <w:t>全年</w:t>
            </w: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各项网信工作经费</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万元</w:t>
            </w: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6"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项目效益</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加强全区网络安全工作开展</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保障网络意识形态安全可控</w:t>
            </w: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全区网信工作顺利开展</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保障网络意识形态安全可控</w:t>
            </w: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49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公众满意度</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≥90%</w:t>
            </w:r>
          </w:p>
        </w:tc>
      </w:tr>
      <w:tr>
        <w:tblPrEx>
          <w:tblCellMar>
            <w:top w:w="0" w:type="dxa"/>
            <w:left w:w="108" w:type="dxa"/>
            <w:bottom w:w="0" w:type="dxa"/>
            <w:right w:w="108" w:type="dxa"/>
          </w:tblCellMar>
        </w:tblPrEx>
        <w:trPr>
          <w:trHeight w:val="50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sz w:val="24"/>
              </w:rPr>
            </w:pPr>
          </w:p>
        </w:tc>
      </w:tr>
    </w:tbl>
    <w:p>
      <w:r>
        <w:br w:type="page"/>
      </w:r>
    </w:p>
    <w:tbl>
      <w:tblPr>
        <w:tblStyle w:val="4"/>
        <w:tblW w:w="10500" w:type="dxa"/>
        <w:tblInd w:w="93" w:type="dxa"/>
        <w:tblLayout w:type="fixed"/>
        <w:tblCellMar>
          <w:top w:w="0" w:type="dxa"/>
          <w:left w:w="108" w:type="dxa"/>
          <w:bottom w:w="0" w:type="dxa"/>
          <w:right w:w="108" w:type="dxa"/>
        </w:tblCellMar>
      </w:tblPr>
      <w:tblGrid>
        <w:gridCol w:w="598"/>
        <w:gridCol w:w="788"/>
        <w:gridCol w:w="765"/>
        <w:gridCol w:w="3675"/>
        <w:gridCol w:w="4674"/>
      </w:tblGrid>
      <w:tr>
        <w:tblPrEx>
          <w:tblCellMar>
            <w:top w:w="0" w:type="dxa"/>
            <w:left w:w="108" w:type="dxa"/>
            <w:bottom w:w="0" w:type="dxa"/>
            <w:right w:w="108" w:type="dxa"/>
          </w:tblCellMar>
        </w:tblPrEx>
        <w:trPr>
          <w:trHeight w:val="661" w:hRule="atLeast"/>
        </w:trPr>
        <w:tc>
          <w:tcPr>
            <w:tcW w:w="1050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eastAsia="zh-CN"/>
              </w:rPr>
              <w:t>其他运转</w:t>
            </w:r>
            <w:r>
              <w:rPr>
                <w:rFonts w:hint="eastAsia" w:ascii="宋体" w:hAnsi="宋体" w:eastAsia="宋体" w:cs="宋体"/>
                <w:b/>
                <w:bCs/>
                <w:color w:val="000000"/>
                <w:kern w:val="0"/>
                <w:sz w:val="32"/>
                <w:szCs w:val="32"/>
              </w:rPr>
              <w:t>类项目支出绩效目标申报表</w:t>
            </w:r>
          </w:p>
        </w:tc>
      </w:tr>
      <w:tr>
        <w:tblPrEx>
          <w:tblCellMar>
            <w:top w:w="0" w:type="dxa"/>
            <w:left w:w="108" w:type="dxa"/>
            <w:bottom w:w="0" w:type="dxa"/>
            <w:right w:w="108" w:type="dxa"/>
          </w:tblCellMar>
        </w:tblPrEx>
        <w:trPr>
          <w:trHeight w:val="306" w:hRule="atLeast"/>
        </w:trPr>
        <w:tc>
          <w:tcPr>
            <w:tcW w:w="1050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77" w:hRule="atLeast"/>
        </w:trPr>
        <w:tc>
          <w:tcPr>
            <w:tcW w:w="2151"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3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仁和区新时代文明实践三级网格运行管理项目</w:t>
            </w:r>
          </w:p>
        </w:tc>
      </w:tr>
      <w:tr>
        <w:tblPrEx>
          <w:tblCellMar>
            <w:top w:w="0" w:type="dxa"/>
            <w:left w:w="108" w:type="dxa"/>
            <w:bottom w:w="0" w:type="dxa"/>
            <w:right w:w="108" w:type="dxa"/>
          </w:tblCellMar>
        </w:tblPrEx>
        <w:trPr>
          <w:trHeight w:val="377" w:hRule="atLeast"/>
        </w:trPr>
        <w:tc>
          <w:tcPr>
            <w:tcW w:w="2151"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3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377" w:hRule="atLeast"/>
        </w:trPr>
        <w:tc>
          <w:tcPr>
            <w:tcW w:w="215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675"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0.00</w:t>
            </w:r>
          </w:p>
        </w:tc>
      </w:tr>
      <w:tr>
        <w:tblPrEx>
          <w:tblCellMar>
            <w:top w:w="0" w:type="dxa"/>
            <w:left w:w="108" w:type="dxa"/>
            <w:bottom w:w="0" w:type="dxa"/>
            <w:right w:w="108" w:type="dxa"/>
          </w:tblCellMar>
        </w:tblPrEx>
        <w:trPr>
          <w:trHeight w:val="377" w:hRule="atLeast"/>
        </w:trPr>
        <w:tc>
          <w:tcPr>
            <w:tcW w:w="215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0.00</w:t>
            </w:r>
          </w:p>
        </w:tc>
      </w:tr>
      <w:tr>
        <w:tblPrEx>
          <w:tblCellMar>
            <w:top w:w="0" w:type="dxa"/>
            <w:left w:w="108" w:type="dxa"/>
            <w:bottom w:w="0" w:type="dxa"/>
            <w:right w:w="108" w:type="dxa"/>
          </w:tblCellMar>
        </w:tblPrEx>
        <w:trPr>
          <w:trHeight w:val="142" w:hRule="atLeast"/>
        </w:trPr>
        <w:tc>
          <w:tcPr>
            <w:tcW w:w="215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994" w:hRule="atLeast"/>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02" w:type="dxa"/>
            <w:gridSpan w:val="4"/>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为切实推动仁和区精神文明建设及新时代文明实践运行管理落地落实，探索建立行之有效的工作机制和运行模式，深入贯彻社会主义核心价值观，通过组织广泛、深入、持久的文明实践活动，增强人民群众的精神力量，提升社会文明程度，促进人的全面发展和社会全面进步，构建共建共治共享的社会治理格局，推动形成人人讲文明、处处见文明的良好社会风尚。</w:t>
            </w:r>
          </w:p>
        </w:tc>
      </w:tr>
      <w:tr>
        <w:tblPrEx>
          <w:tblCellMar>
            <w:top w:w="0" w:type="dxa"/>
            <w:left w:w="108" w:type="dxa"/>
            <w:bottom w:w="0" w:type="dxa"/>
            <w:right w:w="108" w:type="dxa"/>
          </w:tblCellMar>
        </w:tblPrEx>
        <w:trPr>
          <w:trHeight w:val="753" w:hRule="atLeast"/>
        </w:trPr>
        <w:tc>
          <w:tcPr>
            <w:tcW w:w="5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8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549"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76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新时代文明实践三级阵地建设维护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中心1个、所13个、站81个</w:t>
            </w:r>
          </w:p>
        </w:tc>
      </w:tr>
      <w:tr>
        <w:tblPrEx>
          <w:tblCellMar>
            <w:top w:w="0" w:type="dxa"/>
            <w:left w:w="108" w:type="dxa"/>
            <w:bottom w:w="0" w:type="dxa"/>
            <w:right w:w="108" w:type="dxa"/>
          </w:tblCellMar>
        </w:tblPrEx>
        <w:trPr>
          <w:trHeight w:val="429"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新时代文明实践志愿服务活动</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组织开展形式多样的新时代文明实践志愿服务活动项目和活动展示不少于95场次</w:t>
            </w:r>
          </w:p>
        </w:tc>
      </w:tr>
      <w:tr>
        <w:tblPrEx>
          <w:tblCellMar>
            <w:top w:w="0" w:type="dxa"/>
            <w:left w:w="108" w:type="dxa"/>
            <w:bottom w:w="0" w:type="dxa"/>
            <w:right w:w="108" w:type="dxa"/>
          </w:tblCellMar>
        </w:tblPrEx>
        <w:trPr>
          <w:trHeight w:val="429"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新时代文明实践志愿服务总站日常维护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1个</w:t>
            </w:r>
          </w:p>
        </w:tc>
      </w:tr>
      <w:tr>
        <w:tblPrEx>
          <w:tblCellMar>
            <w:top w:w="0" w:type="dxa"/>
            <w:left w:w="108" w:type="dxa"/>
            <w:bottom w:w="0" w:type="dxa"/>
            <w:right w:w="108" w:type="dxa"/>
          </w:tblCellMar>
        </w:tblPrEx>
        <w:trPr>
          <w:trHeight w:val="466"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tcBorders>
              <w:top w:val="nil"/>
              <w:left w:val="single" w:color="000000" w:sz="4" w:space="0"/>
              <w:bottom w:val="nil"/>
              <w:right w:val="single" w:color="000000" w:sz="4" w:space="0"/>
            </w:tcBorders>
            <w:shd w:val="clear" w:color="auto" w:fill="auto"/>
            <w:vAlign w:val="center"/>
          </w:tcPr>
          <w:p>
            <w:pP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文明细胞创建</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创建全国文明城市、全国文明村镇、全国文明单位、省文明单位、省最佳文明单位、省级文明村镇</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新时代文明实践三级阵地建设维护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通过验收，符合质量要求</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新时代文明实践志愿服务活动</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服务群众5万人次以上</w:t>
            </w:r>
          </w:p>
        </w:tc>
      </w:tr>
      <w:tr>
        <w:tblPrEx>
          <w:tblCellMar>
            <w:top w:w="0" w:type="dxa"/>
            <w:left w:w="108" w:type="dxa"/>
            <w:bottom w:w="0" w:type="dxa"/>
            <w:right w:w="108" w:type="dxa"/>
          </w:tblCellMar>
        </w:tblPrEx>
        <w:trPr>
          <w:trHeight w:val="324"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新时代文明实践志愿服务总站日常维护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通过验收，符合质量要求</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文明细胞创建</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满足居民群众精神文明需求</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形成富有地方特点的工作经验</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三级网格运行费</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0万元</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社会</w:t>
            </w:r>
            <w:r>
              <w:rPr>
                <w:rFonts w:hint="eastAsia" w:ascii="宋体" w:hAnsi="宋体" w:eastAsia="宋体" w:cs="宋体"/>
                <w:color w:val="000000"/>
                <w:kern w:val="0"/>
                <w:sz w:val="24"/>
              </w:rPr>
              <w:t>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全面巩固仁和区精神文明建设成果</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通过精神文明建设及新时代文明实践运行管理，加强新时代文明实践志愿服务总站日常维护，组织开展全年志愿服务活动项目，推进文明细胞创建</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通过在主流媒体发布新闻，提升仁和对外知名度和美誉度</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r>
      <w:tr>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66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495"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群众满意度</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85%</w:t>
            </w:r>
          </w:p>
        </w:tc>
      </w:tr>
      <w:tr>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bl>
    <w:p>
      <w:r>
        <w:br w:type="page"/>
      </w:r>
    </w:p>
    <w:tbl>
      <w:tblPr>
        <w:tblStyle w:val="4"/>
        <w:tblW w:w="11070" w:type="dxa"/>
        <w:tblInd w:w="-187" w:type="dxa"/>
        <w:tblLayout w:type="fixed"/>
        <w:tblCellMar>
          <w:top w:w="0" w:type="dxa"/>
          <w:left w:w="108" w:type="dxa"/>
          <w:bottom w:w="0" w:type="dxa"/>
          <w:right w:w="108" w:type="dxa"/>
        </w:tblCellMar>
      </w:tblPr>
      <w:tblGrid>
        <w:gridCol w:w="780"/>
        <w:gridCol w:w="1080"/>
        <w:gridCol w:w="828"/>
        <w:gridCol w:w="3852"/>
        <w:gridCol w:w="4530"/>
      </w:tblGrid>
      <w:tr>
        <w:tblPrEx>
          <w:tblCellMar>
            <w:top w:w="0" w:type="dxa"/>
            <w:left w:w="108" w:type="dxa"/>
            <w:bottom w:w="0" w:type="dxa"/>
            <w:right w:w="108" w:type="dxa"/>
          </w:tblCellMar>
        </w:tblPrEx>
        <w:trPr>
          <w:trHeight w:val="655" w:hRule="atLeast"/>
        </w:trPr>
        <w:tc>
          <w:tcPr>
            <w:tcW w:w="1107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303" w:hRule="atLeast"/>
        </w:trPr>
        <w:tc>
          <w:tcPr>
            <w:tcW w:w="1107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74" w:hRule="atLeast"/>
        </w:trPr>
        <w:tc>
          <w:tcPr>
            <w:tcW w:w="2688"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3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2026年仁和区推进使用正版软件专项</w:t>
            </w:r>
          </w:p>
        </w:tc>
      </w:tr>
      <w:tr>
        <w:tblPrEx>
          <w:tblCellMar>
            <w:top w:w="0" w:type="dxa"/>
            <w:left w:w="108" w:type="dxa"/>
            <w:bottom w:w="0" w:type="dxa"/>
            <w:right w:w="108" w:type="dxa"/>
          </w:tblCellMar>
        </w:tblPrEx>
        <w:trPr>
          <w:trHeight w:val="374" w:hRule="atLeast"/>
        </w:trPr>
        <w:tc>
          <w:tcPr>
            <w:tcW w:w="2688"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3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374" w:hRule="atLeast"/>
        </w:trPr>
        <w:tc>
          <w:tcPr>
            <w:tcW w:w="268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852"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42.50</w:t>
            </w:r>
          </w:p>
        </w:tc>
      </w:tr>
      <w:tr>
        <w:tblPrEx>
          <w:tblCellMar>
            <w:top w:w="0" w:type="dxa"/>
            <w:left w:w="108" w:type="dxa"/>
            <w:bottom w:w="0" w:type="dxa"/>
            <w:right w:w="108" w:type="dxa"/>
          </w:tblCellMar>
        </w:tblPrEx>
        <w:trPr>
          <w:trHeight w:val="374" w:hRule="atLeast"/>
        </w:trPr>
        <w:tc>
          <w:tcPr>
            <w:tcW w:w="268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42.50</w:t>
            </w:r>
          </w:p>
        </w:tc>
      </w:tr>
      <w:tr>
        <w:tblPrEx>
          <w:tblCellMar>
            <w:top w:w="0" w:type="dxa"/>
            <w:left w:w="108" w:type="dxa"/>
            <w:bottom w:w="0" w:type="dxa"/>
            <w:right w:w="108" w:type="dxa"/>
          </w:tblCellMar>
        </w:tblPrEx>
        <w:trPr>
          <w:trHeight w:val="374" w:hRule="atLeast"/>
        </w:trPr>
        <w:tc>
          <w:tcPr>
            <w:tcW w:w="268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276"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2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完成2026年度全区机关、事业单位软件正版化区域授权。</w:t>
            </w:r>
          </w:p>
        </w:tc>
      </w:tr>
      <w:tr>
        <w:tblPrEx>
          <w:tblCellMar>
            <w:top w:w="0" w:type="dxa"/>
            <w:left w:w="108" w:type="dxa"/>
            <w:bottom w:w="0" w:type="dxa"/>
            <w:right w:w="108" w:type="dxa"/>
          </w:tblCellMar>
        </w:tblPrEx>
        <w:trPr>
          <w:trHeight w:val="924" w:hRule="atLeast"/>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1322"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完成</w:t>
            </w:r>
          </w:p>
        </w:tc>
        <w:tc>
          <w:tcPr>
            <w:tcW w:w="82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852"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办公软件正版化区域授权</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1套〔通过区域授权的方式为全区所有机关、事业单位（医院、学校除外）购买正版办公软件服务，满足全区机关事业单位（医院、学校除外）所有人员正版办公软件需求〕</w:t>
            </w:r>
          </w:p>
        </w:tc>
      </w:tr>
      <w:tr>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办公软件正版化区域授权</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全区机关事业单位（医院、学校除外）办公软件正版化，能够满足四川省软件正版化工作要求</w:t>
            </w:r>
          </w:p>
        </w:tc>
      </w:tr>
      <w:tr>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全区机关事业单位（医院、学校除外）办公软件正版化区域授权费用</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52"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全区机关事业单位（医院、学校除外）办公软件正版化区域授权费用</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区级配套资金42.5万元</w:t>
            </w:r>
          </w:p>
        </w:tc>
      </w:tr>
      <w:tr>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1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1333"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项目</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效益</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eastAsia="zh-CN"/>
              </w:rPr>
              <w:t>社会效益指标</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满足全区机关事业单位（医院、学校除外）软件正版化需求</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提升全区机关事业单位（医院、学校除外）软件正版化程度</w:t>
            </w:r>
          </w:p>
        </w:tc>
      </w:tr>
      <w:tr>
        <w:tblPrEx>
          <w:tblCellMar>
            <w:top w:w="0" w:type="dxa"/>
            <w:left w:w="108" w:type="dxa"/>
            <w:bottom w:w="0" w:type="dxa"/>
            <w:right w:w="108" w:type="dxa"/>
          </w:tblCellMar>
        </w:tblPrEx>
        <w:trPr>
          <w:trHeight w:val="4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全区机关事业单位（医院、学校除外）人员满意度</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宋体" w:hAnsi="宋体" w:eastAsia="宋体" w:cs="宋体"/>
                <w:color w:val="000000"/>
                <w:sz w:val="24"/>
                <w:lang w:val="en-US" w:eastAsia="zh-CN"/>
              </w:rPr>
            </w:pPr>
            <w:r>
              <w:rPr>
                <w:rFonts w:hint="eastAsia" w:ascii="宋体" w:hAnsi="宋体" w:eastAsia="宋体" w:cs="宋体"/>
                <w:color w:val="000000"/>
                <w:kern w:val="0"/>
                <w:sz w:val="24"/>
              </w:rPr>
              <w:t>≥90</w:t>
            </w:r>
            <w:r>
              <w:rPr>
                <w:rFonts w:hint="eastAsia" w:ascii="宋体" w:hAnsi="宋体" w:eastAsia="宋体" w:cs="宋体"/>
                <w:color w:val="000000"/>
                <w:kern w:val="0"/>
                <w:sz w:val="24"/>
                <w:lang w:val="en-US" w:eastAsia="zh-CN"/>
              </w:rPr>
              <w:t>%</w:t>
            </w:r>
          </w:p>
        </w:tc>
      </w:tr>
      <w:tr>
        <w:tblPrEx>
          <w:tblCellMar>
            <w:top w:w="0" w:type="dxa"/>
            <w:left w:w="108" w:type="dxa"/>
            <w:bottom w:w="0" w:type="dxa"/>
            <w:right w:w="108" w:type="dxa"/>
          </w:tblCellMar>
        </w:tblPrEx>
        <w:trPr>
          <w:trHeight w:val="65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sz w:val="24"/>
              </w:rPr>
            </w:pPr>
          </w:p>
        </w:tc>
      </w:tr>
    </w:tbl>
    <w:p>
      <w:r>
        <w:br w:type="page"/>
      </w:r>
    </w:p>
    <w:tbl>
      <w:tblPr>
        <w:tblStyle w:val="4"/>
        <w:tblW w:w="10480" w:type="dxa"/>
        <w:tblInd w:w="93" w:type="dxa"/>
        <w:tblLayout w:type="fixed"/>
        <w:tblCellMar>
          <w:top w:w="0" w:type="dxa"/>
          <w:left w:w="108" w:type="dxa"/>
          <w:bottom w:w="0" w:type="dxa"/>
          <w:right w:w="108" w:type="dxa"/>
        </w:tblCellMar>
      </w:tblPr>
      <w:tblGrid>
        <w:gridCol w:w="601"/>
        <w:gridCol w:w="725"/>
        <w:gridCol w:w="1205"/>
        <w:gridCol w:w="3400"/>
        <w:gridCol w:w="4549"/>
      </w:tblGrid>
      <w:tr>
        <w:tblPrEx>
          <w:tblCellMar>
            <w:top w:w="0" w:type="dxa"/>
            <w:left w:w="108" w:type="dxa"/>
            <w:bottom w:w="0" w:type="dxa"/>
            <w:right w:w="108" w:type="dxa"/>
          </w:tblCellMar>
        </w:tblPrEx>
        <w:trPr>
          <w:trHeight w:val="666" w:hRule="atLeast"/>
        </w:trPr>
        <w:tc>
          <w:tcPr>
            <w:tcW w:w="1048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308" w:hRule="atLeast"/>
        </w:trPr>
        <w:tc>
          <w:tcPr>
            <w:tcW w:w="1048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80" w:hRule="atLeast"/>
        </w:trPr>
        <w:tc>
          <w:tcPr>
            <w:tcW w:w="2531"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2026年《文行仁和》微刊编印推广</w:t>
            </w:r>
          </w:p>
        </w:tc>
      </w:tr>
      <w:tr>
        <w:tblPrEx>
          <w:tblCellMar>
            <w:top w:w="0" w:type="dxa"/>
            <w:left w:w="108" w:type="dxa"/>
            <w:bottom w:w="0" w:type="dxa"/>
            <w:right w:w="108" w:type="dxa"/>
          </w:tblCellMar>
        </w:tblPrEx>
        <w:trPr>
          <w:trHeight w:val="380" w:hRule="atLeast"/>
        </w:trPr>
        <w:tc>
          <w:tcPr>
            <w:tcW w:w="2531"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380" w:hRule="atLeast"/>
        </w:trPr>
        <w:tc>
          <w:tcPr>
            <w:tcW w:w="253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400"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20</w:t>
            </w:r>
            <w:r>
              <w:rPr>
                <w:rFonts w:hint="eastAsia" w:ascii="宋体" w:hAnsi="宋体" w:eastAsia="宋体" w:cs="宋体"/>
                <w:color w:val="000000"/>
                <w:kern w:val="0"/>
                <w:sz w:val="24"/>
              </w:rPr>
              <w:t>.00</w:t>
            </w:r>
          </w:p>
        </w:tc>
      </w:tr>
      <w:tr>
        <w:tblPrEx>
          <w:tblCellMar>
            <w:top w:w="0" w:type="dxa"/>
            <w:left w:w="108" w:type="dxa"/>
            <w:bottom w:w="0" w:type="dxa"/>
            <w:right w:w="108" w:type="dxa"/>
          </w:tblCellMar>
        </w:tblPrEx>
        <w:trPr>
          <w:trHeight w:val="380" w:hRule="atLeast"/>
        </w:trPr>
        <w:tc>
          <w:tcPr>
            <w:tcW w:w="2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20</w:t>
            </w:r>
            <w:r>
              <w:rPr>
                <w:rFonts w:hint="eastAsia" w:ascii="宋体" w:hAnsi="宋体" w:eastAsia="宋体" w:cs="宋体"/>
                <w:color w:val="000000"/>
                <w:kern w:val="0"/>
                <w:sz w:val="24"/>
              </w:rPr>
              <w:t>.00</w:t>
            </w:r>
          </w:p>
        </w:tc>
      </w:tr>
      <w:tr>
        <w:tblPrEx>
          <w:tblCellMar>
            <w:top w:w="0" w:type="dxa"/>
            <w:left w:w="108" w:type="dxa"/>
            <w:bottom w:w="0" w:type="dxa"/>
            <w:right w:w="108" w:type="dxa"/>
          </w:tblCellMar>
        </w:tblPrEx>
        <w:trPr>
          <w:trHeight w:val="380" w:hRule="atLeast"/>
        </w:trPr>
        <w:tc>
          <w:tcPr>
            <w:tcW w:w="2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489"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8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全年推送《文行仁和》电子微刊100期以上，文稿500篇以上、图片5400幅以上；组织开展主题采风活动20次。</w:t>
            </w:r>
          </w:p>
        </w:tc>
      </w:tr>
      <w:tr>
        <w:tblPrEx>
          <w:tblCellMar>
            <w:top w:w="0" w:type="dxa"/>
            <w:left w:w="108" w:type="dxa"/>
            <w:bottom w:w="0" w:type="dxa"/>
            <w:right w:w="108" w:type="dxa"/>
          </w:tblCellMar>
        </w:tblPrEx>
        <w:trPr>
          <w:trHeight w:val="625" w:hRule="atLeast"/>
        </w:trPr>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2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681"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项目</w:t>
            </w:r>
          </w:p>
          <w:p>
            <w:pPr>
              <w:jc w:val="center"/>
              <w:rPr>
                <w:rFonts w:ascii="宋体" w:hAnsi="宋体" w:eastAsia="宋体" w:cs="宋体"/>
                <w:color w:val="000000"/>
                <w:sz w:val="24"/>
              </w:rPr>
            </w:pPr>
            <w:r>
              <w:rPr>
                <w:rFonts w:hint="eastAsia" w:ascii="宋体" w:hAnsi="宋体" w:eastAsia="宋体" w:cs="宋体"/>
                <w:color w:val="000000"/>
                <w:kern w:val="0"/>
                <w:sz w:val="24"/>
              </w:rPr>
              <w:t>完成</w:t>
            </w:r>
          </w:p>
        </w:tc>
        <w:tc>
          <w:tcPr>
            <w:tcW w:w="120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数量指标</w:t>
            </w: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《文行仁和》发布微刊数</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推送《文行仁和》电子微刊100期以上，文稿300篇以上、图片3600幅以上</w:t>
            </w:r>
          </w:p>
        </w:tc>
      </w:tr>
      <w:tr>
        <w:tblPrEx>
          <w:tblCellMar>
            <w:top w:w="0" w:type="dxa"/>
            <w:left w:w="108" w:type="dxa"/>
            <w:bottom w:w="0" w:type="dxa"/>
            <w:right w:w="108" w:type="dxa"/>
          </w:tblCellMar>
        </w:tblPrEx>
        <w:trPr>
          <w:trHeight w:val="48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组织采风次数</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组织开展主题采风活动20次</w:t>
            </w: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完成工作目标任务</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全年按仁和区宣文、旅游特色应季要求编印和发布</w:t>
            </w: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按年度安排按时编印和发布</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12"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《文行仁和》微信公众号托管费推广费</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10万元</w:t>
            </w:r>
          </w:p>
        </w:tc>
      </w:tr>
      <w:tr>
        <w:tblPrEx>
          <w:tblCellMar>
            <w:top w:w="0" w:type="dxa"/>
            <w:left w:w="108" w:type="dxa"/>
            <w:bottom w:w="0" w:type="dxa"/>
            <w:right w:w="108" w:type="dxa"/>
          </w:tblCellMar>
        </w:tblPrEx>
        <w:trPr>
          <w:trHeight w:val="582" w:hRule="atLeast"/>
        </w:trPr>
        <w:tc>
          <w:tcPr>
            <w:tcW w:w="601" w:type="dxa"/>
            <w:vMerge w:val="continue"/>
            <w:tcBorders>
              <w:left w:val="single" w:color="000000" w:sz="4" w:space="0"/>
              <w:bottom w:val="single" w:color="000000" w:sz="4" w:space="0"/>
              <w:right w:val="single" w:color="000000" w:sz="4" w:space="0"/>
            </w:tcBorders>
            <w:shd w:val="clear" w:color="auto" w:fill="auto"/>
            <w:vAlign w:val="center"/>
          </w:tcPr>
          <w:p>
            <w:pPr>
              <w:widowControl/>
              <w:jc w:val="left"/>
              <w:textAlignment w:val="center"/>
            </w:pPr>
          </w:p>
        </w:tc>
        <w:tc>
          <w:tcPr>
            <w:tcW w:w="725" w:type="dxa"/>
            <w:vMerge w:val="continue"/>
            <w:tcBorders>
              <w:left w:val="single" w:color="000000" w:sz="4" w:space="0"/>
              <w:bottom w:val="single" w:color="000000" w:sz="4" w:space="0"/>
              <w:right w:val="single" w:color="000000" w:sz="4" w:space="0"/>
            </w:tcBorders>
            <w:shd w:val="clear" w:color="auto" w:fill="auto"/>
            <w:vAlign w:val="center"/>
          </w:tcPr>
          <w:p>
            <w:pPr>
              <w:widowControl/>
              <w:jc w:val="left"/>
              <w:textAlignment w:val="center"/>
            </w:pPr>
          </w:p>
        </w:tc>
        <w:tc>
          <w:tcPr>
            <w:tcW w:w="1205" w:type="dxa"/>
            <w:vMerge w:val="continue"/>
            <w:tcBorders>
              <w:left w:val="single" w:color="000000" w:sz="4" w:space="0"/>
              <w:right w:val="single" w:color="000000" w:sz="4" w:space="0"/>
            </w:tcBorders>
            <w:shd w:val="clear" w:color="auto" w:fill="auto"/>
            <w:vAlign w:val="center"/>
          </w:tcPr>
          <w:p>
            <w:pPr>
              <w:widowControl/>
              <w:jc w:val="left"/>
              <w:textAlignment w:val="center"/>
            </w:pP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rPr>
              <w:t>开展文艺采风活动</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rPr>
              <w:t>5万元</w:t>
            </w:r>
          </w:p>
        </w:tc>
      </w:tr>
      <w:tr>
        <w:tblPrEx>
          <w:tblCellMar>
            <w:top w:w="0" w:type="dxa"/>
            <w:left w:w="108" w:type="dxa"/>
            <w:bottom w:w="0" w:type="dxa"/>
            <w:right w:w="108" w:type="dxa"/>
          </w:tblCellMar>
        </w:tblPrEx>
        <w:trPr>
          <w:trHeight w:val="603"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4"/>
                <w:lang w:eastAsia="zh-CN"/>
              </w:rPr>
            </w:pPr>
            <w:r>
              <w:rPr>
                <w:rFonts w:hint="eastAsia" w:ascii="宋体" w:hAnsi="宋体" w:eastAsia="宋体" w:cs="宋体"/>
                <w:color w:val="000000"/>
                <w:sz w:val="24"/>
              </w:rPr>
              <w:t>2022-2024年</w:t>
            </w:r>
            <w:r>
              <w:rPr>
                <w:rFonts w:hint="eastAsia" w:ascii="宋体" w:hAnsi="宋体" w:eastAsia="宋体" w:cs="宋体"/>
                <w:color w:val="000000"/>
                <w:sz w:val="24"/>
                <w:lang w:eastAsia="zh-CN"/>
              </w:rPr>
              <w:t>应付未付项目</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sz w:val="24"/>
                <w:lang w:val="en-US" w:eastAsia="zh-CN"/>
              </w:rPr>
              <w:t>5</w:t>
            </w:r>
            <w:r>
              <w:rPr>
                <w:rFonts w:hint="eastAsia" w:ascii="宋体" w:hAnsi="宋体" w:eastAsia="宋体" w:cs="宋体"/>
                <w:color w:val="000000"/>
                <w:sz w:val="24"/>
              </w:rPr>
              <w:t>万元</w:t>
            </w: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全面宣传推广重大建设发展项目、城乡文化、三产、旅游、重大产业和城市品牌。</w:t>
            </w: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扩大仁和区对外影响力时间</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长期</w:t>
            </w: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498"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读者和微友满意度</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90%</w:t>
            </w:r>
          </w:p>
        </w:tc>
      </w:tr>
      <w:tr>
        <w:tblPrEx>
          <w:tblCellMar>
            <w:top w:w="0" w:type="dxa"/>
            <w:left w:w="108" w:type="dxa"/>
            <w:bottom w:w="0" w:type="dxa"/>
            <w:right w:w="108" w:type="dxa"/>
          </w:tblCellMar>
        </w:tblPrEx>
        <w:trPr>
          <w:trHeight w:val="508"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bl>
    <w:p>
      <w:r>
        <w:br w:type="page"/>
      </w:r>
    </w:p>
    <w:tbl>
      <w:tblPr>
        <w:tblStyle w:val="4"/>
        <w:tblW w:w="10440" w:type="dxa"/>
        <w:tblInd w:w="91" w:type="dxa"/>
        <w:tblLayout w:type="fixed"/>
        <w:tblCellMar>
          <w:top w:w="0" w:type="dxa"/>
          <w:left w:w="108" w:type="dxa"/>
          <w:bottom w:w="0" w:type="dxa"/>
          <w:right w:w="108" w:type="dxa"/>
        </w:tblCellMar>
      </w:tblPr>
      <w:tblGrid>
        <w:gridCol w:w="596"/>
        <w:gridCol w:w="715"/>
        <w:gridCol w:w="1089"/>
        <w:gridCol w:w="3606"/>
        <w:gridCol w:w="4434"/>
      </w:tblGrid>
      <w:tr>
        <w:tblPrEx>
          <w:tblCellMar>
            <w:top w:w="0" w:type="dxa"/>
            <w:left w:w="108" w:type="dxa"/>
            <w:bottom w:w="0" w:type="dxa"/>
            <w:right w:w="108" w:type="dxa"/>
          </w:tblCellMar>
        </w:tblPrEx>
        <w:trPr>
          <w:trHeight w:val="659" w:hRule="atLeast"/>
        </w:trPr>
        <w:tc>
          <w:tcPr>
            <w:tcW w:w="1044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312" w:hRule="atLeast"/>
        </w:trPr>
        <w:tc>
          <w:tcPr>
            <w:tcW w:w="1044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86" w:hRule="atLeast"/>
        </w:trPr>
        <w:tc>
          <w:tcPr>
            <w:tcW w:w="240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年公益电影放映专项</w:t>
            </w:r>
          </w:p>
        </w:tc>
      </w:tr>
      <w:tr>
        <w:tblPrEx>
          <w:tblCellMar>
            <w:top w:w="0" w:type="dxa"/>
            <w:left w:w="108" w:type="dxa"/>
            <w:bottom w:w="0" w:type="dxa"/>
            <w:right w:w="108" w:type="dxa"/>
          </w:tblCellMar>
        </w:tblPrEx>
        <w:trPr>
          <w:trHeight w:val="386" w:hRule="atLeast"/>
        </w:trPr>
        <w:tc>
          <w:tcPr>
            <w:tcW w:w="240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386" w:hRule="atLeast"/>
        </w:trPr>
        <w:tc>
          <w:tcPr>
            <w:tcW w:w="24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606"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13.94</w:t>
            </w:r>
          </w:p>
        </w:tc>
      </w:tr>
      <w:tr>
        <w:tblPrEx>
          <w:tblCellMar>
            <w:top w:w="0" w:type="dxa"/>
            <w:left w:w="108" w:type="dxa"/>
            <w:bottom w:w="0" w:type="dxa"/>
            <w:right w:w="108" w:type="dxa"/>
          </w:tblCellMar>
        </w:tblPrEx>
        <w:trPr>
          <w:trHeight w:val="386" w:hRule="atLeast"/>
        </w:trPr>
        <w:tc>
          <w:tcPr>
            <w:tcW w:w="24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13.94</w:t>
            </w:r>
          </w:p>
        </w:tc>
      </w:tr>
      <w:tr>
        <w:tblPrEx>
          <w:tblCellMar>
            <w:top w:w="0" w:type="dxa"/>
            <w:left w:w="108" w:type="dxa"/>
            <w:bottom w:w="0" w:type="dxa"/>
            <w:right w:w="108" w:type="dxa"/>
          </w:tblCellMar>
        </w:tblPrEx>
        <w:trPr>
          <w:trHeight w:val="386" w:hRule="atLeast"/>
        </w:trPr>
        <w:tc>
          <w:tcPr>
            <w:tcW w:w="24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365"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8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全年完成农村公益电影放映农村公益电影1152场的任务。</w:t>
            </w:r>
          </w:p>
        </w:tc>
      </w:tr>
      <w:tr>
        <w:tblPrEx>
          <w:tblCellMar>
            <w:top w:w="0" w:type="dxa"/>
            <w:left w:w="108" w:type="dxa"/>
            <w:bottom w:w="0" w:type="dxa"/>
            <w:right w:w="108" w:type="dxa"/>
          </w:tblCellMar>
        </w:tblPrEx>
        <w:trPr>
          <w:trHeight w:val="1256" w:hRule="atLeast"/>
        </w:trPr>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1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759"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089"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放映农村公益电影的行政村数量</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64个</w:t>
            </w:r>
          </w:p>
        </w:tc>
      </w:tr>
      <w:tr>
        <w:tblPrEx>
          <w:tblCellMar>
            <w:top w:w="0" w:type="dxa"/>
            <w:left w:w="108" w:type="dxa"/>
            <w:bottom w:w="0" w:type="dxa"/>
            <w:right w:w="108" w:type="dxa"/>
          </w:tblCellMar>
        </w:tblPrEx>
        <w:trPr>
          <w:trHeight w:val="633"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每个行政村放映农村公益电影数量</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18场</w:t>
            </w:r>
          </w:p>
        </w:tc>
      </w:tr>
      <w:tr>
        <w:tblPrEx>
          <w:tblCellMar>
            <w:top w:w="0" w:type="dxa"/>
            <w:left w:w="108" w:type="dxa"/>
            <w:bottom w:w="0" w:type="dxa"/>
            <w:right w:w="108" w:type="dxa"/>
          </w:tblCellMar>
        </w:tblPrEx>
        <w:trPr>
          <w:trHeight w:val="69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年度放映农村公益电影总量</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1152场</w:t>
            </w:r>
          </w:p>
        </w:tc>
      </w:tr>
      <w:tr>
        <w:tblPrEx>
          <w:tblCellMar>
            <w:top w:w="0" w:type="dxa"/>
            <w:left w:w="108" w:type="dxa"/>
            <w:bottom w:w="0" w:type="dxa"/>
            <w:right w:w="108" w:type="dxa"/>
          </w:tblCellMar>
        </w:tblPrEx>
        <w:trPr>
          <w:trHeight w:val="916"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按照全年目标任务数按质保量完成</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严格按照64个村每个村每年18场标准，确保全年完成年度农村公益电影放映1152场任务</w:t>
            </w: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农村公益电影放映时间</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公益电影放映区级补助费用</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区级配套资金13.9392万元</w:t>
            </w: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restart"/>
            <w:tcBorders>
              <w:top w:val="nil"/>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满足群众精神文化需求</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充分利用农村公益电影放映这一平台，大力推进农村、社区公益电影放映，进一步丰富人民群众的精神文化生活，增强人民群众的获得感幸福感</w:t>
            </w:r>
          </w:p>
        </w:tc>
      </w:tr>
      <w:tr>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nil"/>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605"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nil"/>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503"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群众满意度</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r>
        <w:tblPrEx>
          <w:tblCellMar>
            <w:top w:w="0" w:type="dxa"/>
            <w:left w:w="108" w:type="dxa"/>
            <w:bottom w:w="0" w:type="dxa"/>
            <w:right w:w="108" w:type="dxa"/>
          </w:tblCellMar>
        </w:tblPrEx>
        <w:trPr>
          <w:trHeight w:val="807"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bl>
    <w:p>
      <w:r>
        <w:br w:type="page"/>
      </w:r>
    </w:p>
    <w:tbl>
      <w:tblPr>
        <w:tblStyle w:val="4"/>
        <w:tblW w:w="10520" w:type="dxa"/>
        <w:tblInd w:w="91" w:type="dxa"/>
        <w:tblLayout w:type="fixed"/>
        <w:tblCellMar>
          <w:top w:w="0" w:type="dxa"/>
          <w:left w:w="108" w:type="dxa"/>
          <w:bottom w:w="0" w:type="dxa"/>
          <w:right w:w="108" w:type="dxa"/>
        </w:tblCellMar>
      </w:tblPr>
      <w:tblGrid>
        <w:gridCol w:w="603"/>
        <w:gridCol w:w="708"/>
        <w:gridCol w:w="1290"/>
        <w:gridCol w:w="3477"/>
        <w:gridCol w:w="4442"/>
      </w:tblGrid>
      <w:tr>
        <w:tblPrEx>
          <w:tblCellMar>
            <w:top w:w="0" w:type="dxa"/>
            <w:left w:w="108" w:type="dxa"/>
            <w:bottom w:w="0" w:type="dxa"/>
            <w:right w:w="108" w:type="dxa"/>
          </w:tblCellMar>
        </w:tblPrEx>
        <w:trPr>
          <w:trHeight w:val="665" w:hRule="atLeast"/>
        </w:trPr>
        <w:tc>
          <w:tcPr>
            <w:tcW w:w="1052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308" w:hRule="atLeast"/>
        </w:trPr>
        <w:tc>
          <w:tcPr>
            <w:tcW w:w="10520"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379" w:hRule="atLeast"/>
        </w:trPr>
        <w:tc>
          <w:tcPr>
            <w:tcW w:w="2601"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2026年农家书屋（城市书房）出版物补充资金专项</w:t>
            </w:r>
          </w:p>
        </w:tc>
      </w:tr>
      <w:tr>
        <w:tblPrEx>
          <w:tblCellMar>
            <w:top w:w="0" w:type="dxa"/>
            <w:left w:w="108" w:type="dxa"/>
            <w:bottom w:w="0" w:type="dxa"/>
            <w:right w:w="108" w:type="dxa"/>
          </w:tblCellMar>
        </w:tblPrEx>
        <w:trPr>
          <w:trHeight w:val="379" w:hRule="atLeast"/>
        </w:trPr>
        <w:tc>
          <w:tcPr>
            <w:tcW w:w="2601"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tblPrEx>
          <w:tblCellMar>
            <w:top w:w="0" w:type="dxa"/>
            <w:left w:w="108" w:type="dxa"/>
            <w:bottom w:w="0" w:type="dxa"/>
            <w:right w:w="108" w:type="dxa"/>
          </w:tblCellMar>
        </w:tblPrEx>
        <w:trPr>
          <w:trHeight w:val="379" w:hRule="atLeast"/>
        </w:trPr>
        <w:tc>
          <w:tcPr>
            <w:tcW w:w="26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477"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6.00</w:t>
            </w:r>
          </w:p>
        </w:tc>
      </w:tr>
      <w:tr>
        <w:tblPrEx>
          <w:tblCellMar>
            <w:top w:w="0" w:type="dxa"/>
            <w:left w:w="108" w:type="dxa"/>
            <w:bottom w:w="0" w:type="dxa"/>
            <w:right w:w="108" w:type="dxa"/>
          </w:tblCellMar>
        </w:tblPrEx>
        <w:trPr>
          <w:trHeight w:val="379" w:hRule="atLeast"/>
        </w:trPr>
        <w:tc>
          <w:tcPr>
            <w:tcW w:w="26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sz w:val="24"/>
                <w:lang w:val="en-US" w:eastAsia="zh-CN"/>
              </w:rPr>
              <w:t>6.00</w:t>
            </w:r>
          </w:p>
        </w:tc>
      </w:tr>
      <w:tr>
        <w:tblPrEx>
          <w:tblCellMar>
            <w:top w:w="0" w:type="dxa"/>
            <w:left w:w="108" w:type="dxa"/>
            <w:bottom w:w="0" w:type="dxa"/>
            <w:right w:w="108" w:type="dxa"/>
          </w:tblCellMar>
        </w:tblPrEx>
        <w:trPr>
          <w:trHeight w:val="379" w:hRule="atLeast"/>
        </w:trPr>
        <w:tc>
          <w:tcPr>
            <w:tcW w:w="26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48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完成农家书屋（城市书房）出版物补充更新，满足群众读书、看报等多元化的阅读需求，丰富人民群众的文化生活，不断推进“书香仁和”建设。</w:t>
            </w:r>
          </w:p>
        </w:tc>
      </w:tr>
      <w:tr>
        <w:tblPrEx>
          <w:tblCellMar>
            <w:top w:w="0" w:type="dxa"/>
            <w:left w:w="108" w:type="dxa"/>
            <w:bottom w:w="0" w:type="dxa"/>
            <w:right w:w="108" w:type="dxa"/>
          </w:tblCellMar>
        </w:tblPrEx>
        <w:trPr>
          <w:trHeight w:val="624" w:hRule="atLeast"/>
        </w:trPr>
        <w:tc>
          <w:tcPr>
            <w:tcW w:w="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0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需补充出版物的农家书屋个数</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64个</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每个农家书屋出版物补充资金</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不低于2000元</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每个农家书屋出版物补充册数</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不低于60册</w:t>
            </w:r>
          </w:p>
        </w:tc>
      </w:tr>
      <w:tr>
        <w:tblPrEx>
          <w:tblCellMar>
            <w:top w:w="0" w:type="dxa"/>
            <w:left w:w="108" w:type="dxa"/>
            <w:bottom w:w="0" w:type="dxa"/>
            <w:right w:w="108" w:type="dxa"/>
          </w:tblCellMar>
        </w:tblPrEx>
        <w:trPr>
          <w:trHeight w:val="959"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477" w:type="dxa"/>
            <w:tcBorders>
              <w:top w:val="single" w:color="000000"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年度补充出版物符合中央、省、市有关要求</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符合</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农家书屋出版物补充年度</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2026年农家书屋（城市书房）出版物补充资金</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区级配套资金</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万元</w:t>
            </w:r>
            <w:r>
              <w:rPr>
                <w:rFonts w:hint="eastAsia" w:ascii="宋体" w:hAnsi="宋体" w:eastAsia="宋体" w:cs="宋体"/>
                <w:color w:val="000000"/>
                <w:kern w:val="0"/>
                <w:sz w:val="24"/>
                <w:lang w:val="en-US" w:eastAsia="zh-CN"/>
              </w:rPr>
              <w:t xml:space="preserve">                                                                                        </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提高精神文化生活水平</w:t>
            </w:r>
          </w:p>
        </w:tc>
        <w:tc>
          <w:tcPr>
            <w:tcW w:w="4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满足群众读书、看报等多元化的阅读需求，丰富人民群众的文化生活，不断推进“书香仁和”建设</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542"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可持续影响指标</w:t>
            </w:r>
          </w:p>
        </w:tc>
        <w:tc>
          <w:tcPr>
            <w:tcW w:w="3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满足周边群众多元的阅读需求</w:t>
            </w:r>
          </w:p>
        </w:tc>
        <w:tc>
          <w:tcPr>
            <w:tcW w:w="4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丰富人民群众的文化生活，提升公共文化服务能力，增强群众获得感</w:t>
            </w: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r>
        <w:tblPrEx>
          <w:tblCellMar>
            <w:top w:w="0" w:type="dxa"/>
            <w:left w:w="108" w:type="dxa"/>
            <w:bottom w:w="0" w:type="dxa"/>
            <w:right w:w="108" w:type="dxa"/>
          </w:tblCellMar>
        </w:tblPrEx>
        <w:trPr>
          <w:trHeight w:val="497"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群众满意度</w:t>
            </w:r>
          </w:p>
        </w:tc>
        <w:tc>
          <w:tcPr>
            <w:tcW w:w="4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bookmarkStart w:id="0" w:name="_GoBack"/>
            <w:bookmarkEnd w:id="0"/>
            <w:r>
              <w:rPr>
                <w:rFonts w:hint="eastAsia" w:ascii="宋体" w:hAnsi="宋体" w:eastAsia="宋体" w:cs="宋体"/>
                <w:color w:val="000000"/>
                <w:kern w:val="0"/>
                <w:sz w:val="24"/>
              </w:rPr>
              <w:t>≥90%</w:t>
            </w:r>
          </w:p>
        </w:tc>
      </w:tr>
      <w:tr>
        <w:tblPrEx>
          <w:tblCellMar>
            <w:top w:w="0" w:type="dxa"/>
            <w:left w:w="108" w:type="dxa"/>
            <w:bottom w:w="0" w:type="dxa"/>
            <w:right w:w="108" w:type="dxa"/>
          </w:tblCellMar>
        </w:tblPrEx>
        <w:trPr>
          <w:trHeight w:val="507"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CD39C9"/>
    <w:rsid w:val="00AE2B01"/>
    <w:rsid w:val="00F85787"/>
    <w:rsid w:val="04277BDE"/>
    <w:rsid w:val="05AB50DB"/>
    <w:rsid w:val="078F629C"/>
    <w:rsid w:val="09214A58"/>
    <w:rsid w:val="0CC56D0D"/>
    <w:rsid w:val="0D223618"/>
    <w:rsid w:val="0F5A14BD"/>
    <w:rsid w:val="10323755"/>
    <w:rsid w:val="10725009"/>
    <w:rsid w:val="10D265AD"/>
    <w:rsid w:val="122049AD"/>
    <w:rsid w:val="13A94B5C"/>
    <w:rsid w:val="149D37E4"/>
    <w:rsid w:val="15207D7D"/>
    <w:rsid w:val="15E30600"/>
    <w:rsid w:val="16AA1A1F"/>
    <w:rsid w:val="17026A7A"/>
    <w:rsid w:val="195C14A3"/>
    <w:rsid w:val="19792555"/>
    <w:rsid w:val="1ACC309C"/>
    <w:rsid w:val="1B0F349B"/>
    <w:rsid w:val="1BCC6095"/>
    <w:rsid w:val="1D4A019B"/>
    <w:rsid w:val="22C36928"/>
    <w:rsid w:val="22EC10DB"/>
    <w:rsid w:val="24F73849"/>
    <w:rsid w:val="25B14925"/>
    <w:rsid w:val="28920A3E"/>
    <w:rsid w:val="2BE23A8A"/>
    <w:rsid w:val="2C956D4E"/>
    <w:rsid w:val="2CAD7975"/>
    <w:rsid w:val="2D2C3F43"/>
    <w:rsid w:val="2D8D3349"/>
    <w:rsid w:val="322102F2"/>
    <w:rsid w:val="32315D79"/>
    <w:rsid w:val="32556A4E"/>
    <w:rsid w:val="33263589"/>
    <w:rsid w:val="33944B65"/>
    <w:rsid w:val="345E74D4"/>
    <w:rsid w:val="34777DA9"/>
    <w:rsid w:val="3566572C"/>
    <w:rsid w:val="38742320"/>
    <w:rsid w:val="3C0E5615"/>
    <w:rsid w:val="3F261A88"/>
    <w:rsid w:val="41F722E5"/>
    <w:rsid w:val="4486648C"/>
    <w:rsid w:val="44D04DF5"/>
    <w:rsid w:val="489B7043"/>
    <w:rsid w:val="498D56B8"/>
    <w:rsid w:val="49C31264"/>
    <w:rsid w:val="49C87648"/>
    <w:rsid w:val="4AFF651A"/>
    <w:rsid w:val="4B8F1344"/>
    <w:rsid w:val="4C123AC0"/>
    <w:rsid w:val="4F844088"/>
    <w:rsid w:val="4FDC2A12"/>
    <w:rsid w:val="511752AD"/>
    <w:rsid w:val="548C2394"/>
    <w:rsid w:val="55DB79EC"/>
    <w:rsid w:val="59382BEC"/>
    <w:rsid w:val="5B896668"/>
    <w:rsid w:val="5BA33255"/>
    <w:rsid w:val="5CFD1C22"/>
    <w:rsid w:val="5DE24514"/>
    <w:rsid w:val="5FCA1E36"/>
    <w:rsid w:val="5FEB5BEE"/>
    <w:rsid w:val="64CD39C9"/>
    <w:rsid w:val="661C699C"/>
    <w:rsid w:val="68543DA6"/>
    <w:rsid w:val="6A1C68B5"/>
    <w:rsid w:val="6D6167A4"/>
    <w:rsid w:val="6E1B3F1D"/>
    <w:rsid w:val="6E3B37C2"/>
    <w:rsid w:val="6FF078E2"/>
    <w:rsid w:val="7026010C"/>
    <w:rsid w:val="76274752"/>
    <w:rsid w:val="78D22D18"/>
    <w:rsid w:val="7BC41E31"/>
    <w:rsid w:val="7BFE58F9"/>
    <w:rsid w:val="7C84421D"/>
    <w:rsid w:val="7F4A0757"/>
    <w:rsid w:val="7FFB4E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51"/>
    <w:basedOn w:val="5"/>
    <w:qFormat/>
    <w:uiPriority w:val="0"/>
    <w:rPr>
      <w:rFonts w:hint="default" w:ascii="Times New Roman" w:hAnsi="Times New Roman" w:cs="Times New Roman"/>
      <w:color w:val="000000"/>
      <w:sz w:val="24"/>
      <w:szCs w:val="24"/>
      <w:u w:val="none"/>
    </w:rPr>
  </w:style>
  <w:style w:type="character" w:customStyle="1" w:styleId="7">
    <w:name w:val="font11"/>
    <w:basedOn w:val="5"/>
    <w:qFormat/>
    <w:uiPriority w:val="0"/>
    <w:rPr>
      <w:rFonts w:hint="eastAsia" w:ascii="宋体" w:hAnsi="宋体" w:eastAsia="宋体" w:cs="宋体"/>
      <w:color w:val="000000"/>
      <w:sz w:val="24"/>
      <w:szCs w:val="24"/>
      <w:u w:val="none"/>
    </w:rPr>
  </w:style>
  <w:style w:type="character" w:customStyle="1" w:styleId="8">
    <w:name w:val="font31"/>
    <w:basedOn w:val="5"/>
    <w:qFormat/>
    <w:uiPriority w:val="0"/>
    <w:rPr>
      <w:rFonts w:hint="default" w:ascii="Times New Roman" w:hAnsi="Times New Roman" w:cs="Times New Roman"/>
      <w:color w:val="000000"/>
      <w:sz w:val="24"/>
      <w:szCs w:val="24"/>
      <w:u w:val="none"/>
    </w:rPr>
  </w:style>
  <w:style w:type="character" w:customStyle="1" w:styleId="9">
    <w:name w:val="页眉 Char"/>
    <w:basedOn w:val="5"/>
    <w:link w:val="3"/>
    <w:qFormat/>
    <w:uiPriority w:val="0"/>
    <w:rPr>
      <w:rFonts w:asciiTheme="minorHAnsi" w:hAnsiTheme="minorHAnsi" w:eastAsiaTheme="minorEastAsia" w:cstheme="minorBidi"/>
      <w:kern w:val="2"/>
      <w:sz w:val="18"/>
      <w:szCs w:val="18"/>
    </w:rPr>
  </w:style>
  <w:style w:type="character" w:customStyle="1" w:styleId="1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4896</Words>
  <Characters>5184</Characters>
  <Lines>16</Lines>
  <Paragraphs>14</Paragraphs>
  <TotalTime>1</TotalTime>
  <ScaleCrop>false</ScaleCrop>
  <LinksUpToDate>false</LinksUpToDate>
  <CharactersWithSpaces>5328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2025-01-22T07:37:00Z</dcterms:created>
  <dc:creator>游蕊菱</dc:creator>
  <cp:lastModifiedBy>龙柱洵</cp:lastModifiedBy>
  <dcterms:modified xsi:type="dcterms:W3CDTF">2026-01-22T08:22:53Z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F34D5C22AD6D4EF3AD36F844BB2B77E2_13</vt:lpwstr>
  </property>
  <property fmtid="{D5CDD505-2E9C-101B-9397-08002B2CF9AE}" pid="4" name="KSOTemplateDocerSaveRecord">
    <vt:lpwstr>eyJoZGlkIjoiMGMyY2IzZmUzZmIzZWY1YjdhMjBmZDVjNzlmMTUxZDciLCJ1c2VySWQiOiIxNjUwOTI5MTg3In0=</vt:lpwstr>
  </property>
</Properties>
</file>